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учреждение дополнительного образования </w:t>
      </w:r>
    </w:p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«Центр дополнительного образования «Созвездие» </w:t>
      </w:r>
    </w:p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>Тутаевского муниципального района</w:t>
      </w:r>
    </w:p>
    <w:p w:rsidR="008203B0" w:rsidRDefault="008203B0">
      <w:pPr>
        <w:jc w:val="center"/>
        <w:rPr>
          <w:b/>
          <w:sz w:val="24"/>
          <w:szCs w:val="24"/>
        </w:rPr>
      </w:pPr>
    </w:p>
    <w:p w:rsidR="008203B0" w:rsidRDefault="008203B0">
      <w:pPr>
        <w:jc w:val="center"/>
        <w:rPr>
          <w:b/>
          <w:sz w:val="24"/>
          <w:szCs w:val="24"/>
        </w:rPr>
      </w:pPr>
    </w:p>
    <w:p w:rsidR="008203B0" w:rsidRDefault="008203B0">
      <w:pPr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>Туристский культурно-познавательный маршрут</w:t>
      </w: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>«К святому источнику»</w:t>
      </w: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4A57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Автор: </w:t>
      </w:r>
    </w:p>
    <w:p w:rsidR="008203B0" w:rsidRDefault="004A5787">
      <w:pPr>
        <w:ind w:left="425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Долголожкина</w:t>
      </w:r>
      <w:proofErr w:type="spellEnd"/>
      <w:r>
        <w:rPr>
          <w:sz w:val="24"/>
          <w:szCs w:val="24"/>
        </w:rPr>
        <w:t xml:space="preserve"> Е.В. – педагог дополнительного образования Центра «Созвездие»</w:t>
      </w:r>
    </w:p>
    <w:p w:rsidR="008203B0" w:rsidRDefault="008203B0">
      <w:pPr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8203B0">
      <w:pPr>
        <w:jc w:val="center"/>
        <w:rPr>
          <w:sz w:val="24"/>
          <w:szCs w:val="24"/>
        </w:rPr>
      </w:pPr>
    </w:p>
    <w:p w:rsidR="008203B0" w:rsidRDefault="004A5787">
      <w:pPr>
        <w:jc w:val="center"/>
        <w:rPr>
          <w:sz w:val="24"/>
          <w:szCs w:val="24"/>
        </w:rPr>
      </w:pPr>
      <w:r>
        <w:rPr>
          <w:sz w:val="24"/>
          <w:szCs w:val="24"/>
        </w:rPr>
        <w:t>Тутаев, 2024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>Представленный экскурсионный культурно-познавательный маршрут был пройден детско-взрослым коллективом объединения «Рюкзачок» 23 мая 2024 года. Рук</w:t>
      </w:r>
      <w:r>
        <w:rPr>
          <w:sz w:val="24"/>
          <w:szCs w:val="24"/>
        </w:rPr>
        <w:t xml:space="preserve">оводитель группы – </w:t>
      </w:r>
      <w:proofErr w:type="spellStart"/>
      <w:r>
        <w:rPr>
          <w:sz w:val="24"/>
          <w:szCs w:val="24"/>
        </w:rPr>
        <w:t>Долголожкина</w:t>
      </w:r>
      <w:proofErr w:type="spellEnd"/>
      <w:r>
        <w:rPr>
          <w:sz w:val="24"/>
          <w:szCs w:val="24"/>
        </w:rPr>
        <w:t xml:space="preserve"> Е.В. Маршрут был спланирован в рамках реализации дополнительной общеобразовательной общеразвивающей программы «Юный краевед-турист». Участниками стали обучающиеся объединения и их родители. Сбор группы организован у магазина</w:t>
      </w:r>
      <w:r>
        <w:rPr>
          <w:sz w:val="24"/>
          <w:szCs w:val="24"/>
        </w:rPr>
        <w:t xml:space="preserve"> «Чижик». </w:t>
      </w:r>
    </w:p>
    <w:p w:rsidR="008203B0" w:rsidRDefault="004A5787">
      <w:pPr>
        <w:spacing w:before="12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Нитка маршрута:</w:t>
      </w:r>
      <w:r>
        <w:rPr>
          <w:sz w:val="24"/>
          <w:szCs w:val="24"/>
        </w:rPr>
        <w:t xml:space="preserve"> магазин «Чижик» – пр-т 50-летия Победы – Мойка «</w:t>
      </w:r>
      <w:proofErr w:type="spellStart"/>
      <w:r>
        <w:rPr>
          <w:sz w:val="24"/>
          <w:szCs w:val="24"/>
        </w:rPr>
        <w:t>Гартекс</w:t>
      </w:r>
      <w:proofErr w:type="spellEnd"/>
      <w:r>
        <w:rPr>
          <w:sz w:val="24"/>
          <w:szCs w:val="24"/>
        </w:rPr>
        <w:t>» – святой источник на р. Ковать.</w:t>
      </w:r>
    </w:p>
    <w:p w:rsidR="008203B0" w:rsidRDefault="004A5787">
      <w:pPr>
        <w:spacing w:before="12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Возрастная категория участников:</w:t>
      </w:r>
      <w:r>
        <w:rPr>
          <w:sz w:val="24"/>
          <w:szCs w:val="24"/>
        </w:rPr>
        <w:t xml:space="preserve"> 7-8 лет.</w:t>
      </w:r>
    </w:p>
    <w:p w:rsidR="008203B0" w:rsidRDefault="004A5787">
      <w:pPr>
        <w:spacing w:before="12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Протяженность маршрута:</w:t>
      </w:r>
      <w:r>
        <w:rPr>
          <w:sz w:val="24"/>
          <w:szCs w:val="24"/>
        </w:rPr>
        <w:t xml:space="preserve"> 6 км.</w:t>
      </w:r>
    </w:p>
    <w:p w:rsidR="008203B0" w:rsidRDefault="004A578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маршрута: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667032" cy="5048250"/>
                <wp:effectExtent l="0" t="0" r="0" b="0"/>
                <wp:docPr id="1" name="Рисунок 1" descr="C:\Users\Дмитрий\YandexDisk\Скриншоты\2025-01-19_21-19-4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митрий\YandexDisk\Скриншоты\2025-01-19_21-19-49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667032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7.48pt;height:397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8203B0" w:rsidRDefault="004A5787">
      <w:pPr>
        <w:spacing w:before="12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Варианты подъездов-отъездов:</w:t>
      </w:r>
      <w:r>
        <w:rPr>
          <w:sz w:val="24"/>
          <w:szCs w:val="24"/>
        </w:rPr>
        <w:t xml:space="preserve"> в нашем случае начальной точкой стал магазин «Чижик», у которого имеется асфальтированная площадка (здесь же возможно приобретение продуктов и воды для организации перекуса на маршруте). Для </w:t>
      </w:r>
      <w:proofErr w:type="gramStart"/>
      <w:r>
        <w:rPr>
          <w:sz w:val="24"/>
          <w:szCs w:val="24"/>
        </w:rPr>
        <w:t>иногородних</w:t>
      </w:r>
      <w:proofErr w:type="gramEnd"/>
      <w:r>
        <w:rPr>
          <w:sz w:val="24"/>
          <w:szCs w:val="24"/>
        </w:rPr>
        <w:t xml:space="preserve"> добраться до начальной точки не сложно</w:t>
      </w:r>
      <w:r w:rsidR="00CD62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з Рыбинска д</w:t>
      </w:r>
      <w:r>
        <w:rPr>
          <w:sz w:val="24"/>
          <w:szCs w:val="24"/>
        </w:rPr>
        <w:t xml:space="preserve">о Тутаева можно доехать автобусом 500 и 504 до остановки Тутаев Центральная. Из Ярославля с автостанции Ярославль-Главный автобусом 161, 500, либо с автовокзала автобусом 504 до остановки Тутаев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. Далее двигаться пешком по проспекту 50-летия Поб</w:t>
      </w:r>
      <w:r>
        <w:rPr>
          <w:sz w:val="24"/>
          <w:szCs w:val="24"/>
        </w:rPr>
        <w:t xml:space="preserve">еды до магазина «Чижик». Длина пешего маршрута до источника составляет около 3 км. Возможно возвращение автомобильным транспортом или </w:t>
      </w:r>
      <w:r>
        <w:rPr>
          <w:sz w:val="24"/>
          <w:szCs w:val="24"/>
        </w:rPr>
        <w:lastRenderedPageBreak/>
        <w:t>заказным автобусом, поскольку к источнику имеется съе</w:t>
      </w:r>
      <w:proofErr w:type="gramStart"/>
      <w:r>
        <w:rPr>
          <w:sz w:val="24"/>
          <w:szCs w:val="24"/>
        </w:rPr>
        <w:t>зд с тр</w:t>
      </w:r>
      <w:proofErr w:type="gramEnd"/>
      <w:r>
        <w:rPr>
          <w:sz w:val="24"/>
          <w:szCs w:val="24"/>
        </w:rPr>
        <w:t>ассы Ярославль – Рыбинск. Группа возвращалась обратно пешком т</w:t>
      </w:r>
      <w:r>
        <w:rPr>
          <w:sz w:val="24"/>
          <w:szCs w:val="24"/>
        </w:rPr>
        <w:t>ем же маршрутом.</w:t>
      </w:r>
    </w:p>
    <w:p w:rsidR="008203B0" w:rsidRDefault="004A57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мест привалов: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маршруте были сделаны 4 остановки для бесед об истории строительства и объектах инфраструктуры железной дороги, истории возникновения источника. Привал был запланирован в дальней точке маршрута у источника. Рядом </w:t>
      </w:r>
      <w:r>
        <w:rPr>
          <w:sz w:val="24"/>
          <w:szCs w:val="24"/>
        </w:rPr>
        <w:t>с источником имеется беседка с лавочками, где для перекуса могут разместиться 5-6 человек.</w:t>
      </w:r>
    </w:p>
    <w:p w:rsidR="008203B0" w:rsidRDefault="004A578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исторических и культурных объектах: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железнодорожный переезд;</w:t>
      </w:r>
      <w:r>
        <w:rPr>
          <w:rFonts w:eastAsia="+mj-ea"/>
          <w:sz w:val="24"/>
          <w:szCs w:val="24"/>
        </w:rPr>
        <w:t xml:space="preserve"> 1 января 1870 года постройка железной дороги от Сергиева Посада до Ярославля завершена. В </w:t>
      </w:r>
      <w:r>
        <w:rPr>
          <w:rFonts w:eastAsia="+mj-ea"/>
          <w:sz w:val="24"/>
          <w:szCs w:val="24"/>
        </w:rPr>
        <w:t xml:space="preserve">Ярославле, Ростове и Александрове возведены паровозные депо. Железная дорога в Рыбинск пришла благодаря инициативе местных купцов. Строительство </w:t>
      </w:r>
      <w:proofErr w:type="spellStart"/>
      <w:r>
        <w:rPr>
          <w:rFonts w:eastAsia="+mj-ea"/>
          <w:sz w:val="24"/>
          <w:szCs w:val="24"/>
        </w:rPr>
        <w:t>Рыбинско-Бологовской</w:t>
      </w:r>
      <w:proofErr w:type="spellEnd"/>
      <w:r>
        <w:rPr>
          <w:rFonts w:eastAsia="+mj-ea"/>
          <w:sz w:val="24"/>
          <w:szCs w:val="24"/>
        </w:rPr>
        <w:t xml:space="preserve"> дороги велось на частные деньги, государство выделило 5 млн</w:t>
      </w:r>
      <w:r w:rsidR="00BA3C72">
        <w:rPr>
          <w:rFonts w:eastAsia="+mj-ea"/>
          <w:sz w:val="24"/>
          <w:szCs w:val="24"/>
        </w:rPr>
        <w:t>.</w:t>
      </w:r>
      <w:r>
        <w:rPr>
          <w:rFonts w:eastAsia="+mj-ea"/>
          <w:sz w:val="24"/>
          <w:szCs w:val="24"/>
        </w:rPr>
        <w:t xml:space="preserve"> рублей, на которые были постро</w:t>
      </w:r>
      <w:r>
        <w:rPr>
          <w:rFonts w:eastAsia="+mj-ea"/>
          <w:sz w:val="24"/>
          <w:szCs w:val="24"/>
        </w:rPr>
        <w:t>ены два моста – через реки Волгу и Черемуху.</w:t>
      </w:r>
      <w:r>
        <w:rPr>
          <w:sz w:val="24"/>
          <w:szCs w:val="24"/>
        </w:rPr>
        <w:t xml:space="preserve"> В 1898 году открылось движение по линии Ярославль – Рыбинск, на окраине Ярославля начала работать станция Всполье</w:t>
      </w:r>
      <w:r>
        <w:rPr>
          <w:rFonts w:eastAsia="+mj-ea"/>
          <w:sz w:val="24"/>
          <w:szCs w:val="24"/>
        </w:rPr>
        <w:t xml:space="preserve"> (в </w:t>
      </w:r>
      <w:r>
        <w:rPr>
          <w:sz w:val="24"/>
          <w:szCs w:val="24"/>
        </w:rPr>
        <w:t>1958 году станция была переименована, она стала называться Ярославль-Главный, чрез нее шли осн</w:t>
      </w:r>
      <w:r>
        <w:rPr>
          <w:sz w:val="24"/>
          <w:szCs w:val="24"/>
        </w:rPr>
        <w:t>овные грузовые и пассажирские потоки между северными и центральными территориями страны).</w:t>
      </w:r>
      <w:r>
        <w:rPr>
          <w:rFonts w:eastAsia="+mj-ea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Станция </w:t>
      </w:r>
      <w:proofErr w:type="spellStart"/>
      <w:r>
        <w:rPr>
          <w:sz w:val="24"/>
          <w:szCs w:val="24"/>
        </w:rPr>
        <w:t>Чёбаково</w:t>
      </w:r>
      <w:proofErr w:type="spellEnd"/>
      <w:r>
        <w:rPr>
          <w:sz w:val="24"/>
          <w:szCs w:val="24"/>
        </w:rPr>
        <w:t xml:space="preserve"> была открыта в 1898 году.</w:t>
      </w:r>
      <w:r>
        <w:rPr>
          <w:rFonts w:eastAsia="+mj-ea"/>
          <w:caps/>
          <w:color w:val="215ED9"/>
          <w:sz w:val="24"/>
          <w:szCs w:val="24"/>
        </w:rPr>
        <w:t xml:space="preserve"> </w:t>
      </w:r>
      <w:r w:rsidR="00BA3C72" w:rsidRPr="00BA3C72">
        <w:rPr>
          <w:rFonts w:eastAsia="+mj-ea"/>
          <w:caps/>
          <w:color w:val="auto"/>
          <w:sz w:val="24"/>
          <w:szCs w:val="24"/>
        </w:rPr>
        <w:t>В</w:t>
      </w:r>
      <w:r w:rsidR="00BA3C72">
        <w:rPr>
          <w:rFonts w:eastAsia="+mj-ea"/>
          <w:caps/>
          <w:color w:val="215ED9"/>
          <w:sz w:val="24"/>
          <w:szCs w:val="24"/>
        </w:rPr>
        <w:t xml:space="preserve"> </w:t>
      </w:r>
      <w:r>
        <w:rPr>
          <w:sz w:val="24"/>
          <w:szCs w:val="24"/>
        </w:rPr>
        <w:t xml:space="preserve">1879 </w:t>
      </w:r>
      <w:r w:rsidR="00BA3C72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="00BA3C72">
        <w:rPr>
          <w:sz w:val="24"/>
          <w:szCs w:val="24"/>
        </w:rPr>
        <w:t>п</w:t>
      </w:r>
      <w:r>
        <w:rPr>
          <w:sz w:val="24"/>
          <w:szCs w:val="24"/>
        </w:rPr>
        <w:t>о инициативе нефтепромышленника Виктора Ивановича Рагозина был построен завод по производству нефтяных масел у сел</w:t>
      </w:r>
      <w:r>
        <w:rPr>
          <w:sz w:val="24"/>
          <w:szCs w:val="24"/>
        </w:rPr>
        <w:t>а Константиново</w:t>
      </w:r>
      <w:r w:rsidR="00BA3C72">
        <w:rPr>
          <w:sz w:val="24"/>
          <w:szCs w:val="24"/>
        </w:rPr>
        <w:t>. В 1912 году</w:t>
      </w:r>
      <w:r>
        <w:rPr>
          <w:sz w:val="24"/>
          <w:szCs w:val="24"/>
        </w:rPr>
        <w:t xml:space="preserve"> </w:t>
      </w:r>
      <w:r w:rsidR="00BA3C72">
        <w:rPr>
          <w:sz w:val="24"/>
          <w:szCs w:val="24"/>
        </w:rPr>
        <w:t>н</w:t>
      </w:r>
      <w:r>
        <w:rPr>
          <w:sz w:val="24"/>
          <w:szCs w:val="24"/>
        </w:rPr>
        <w:t xml:space="preserve">ачаты изыскания и проектирование железной дороги от станции </w:t>
      </w:r>
      <w:proofErr w:type="spellStart"/>
      <w:r>
        <w:rPr>
          <w:sz w:val="24"/>
          <w:szCs w:val="24"/>
        </w:rPr>
        <w:t>Чебаково</w:t>
      </w:r>
      <w:proofErr w:type="spellEnd"/>
      <w:r>
        <w:rPr>
          <w:sz w:val="24"/>
          <w:szCs w:val="24"/>
        </w:rPr>
        <w:t xml:space="preserve"> до Константиновского завода, вся ветка была сдана в эксплуатацию в октябре 1916 года. Это позволило доставлять сырье и отправлять готовую продукцию по железной до</w:t>
      </w:r>
      <w:r>
        <w:rPr>
          <w:sz w:val="24"/>
          <w:szCs w:val="24"/>
        </w:rPr>
        <w:t>роге;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стрелка, семафоры, светофоры; стрелка – это устройство соединения путей, которое предназначено для перевода подвижного состава с одного пути на другой. Машинист может проверить перевод стрелки по фонарям, которые поставлены у стрелок и поворачивают</w:t>
      </w:r>
      <w:r>
        <w:rPr>
          <w:sz w:val="24"/>
          <w:szCs w:val="24"/>
        </w:rPr>
        <w:t>ся в зависимости от того, переведена стрелка или нет. Семафор – механическое средство сигнализации для подвижного состава на железных дорогах. Состоит из металлической мачты, несущей одно, два или три сигнализирующих крыла и сигнальные фонари. Горизонтальн</w:t>
      </w:r>
      <w:r>
        <w:rPr>
          <w:sz w:val="24"/>
          <w:szCs w:val="24"/>
        </w:rPr>
        <w:t>ое положение крыла соответствует запрещающему показанию семафора, поднятое крыло – разрешающему. Основные значения сигналов светофора на железной дороге:  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 зеленый огонь – разрешается движение с установленной скоростью; следующий светофор открыт;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>
        <w:rPr>
          <w:sz w:val="24"/>
          <w:szCs w:val="24"/>
        </w:rPr>
        <w:t xml:space="preserve"> желтый огонь – разрешается движение с готовностью остановиться; следующий светофор закрыт;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 красный огонь – стой! Запрещается проезжать сигнал;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станция </w:t>
      </w:r>
      <w:proofErr w:type="spellStart"/>
      <w:r>
        <w:rPr>
          <w:sz w:val="24"/>
          <w:szCs w:val="24"/>
        </w:rPr>
        <w:t>Тутаево</w:t>
      </w:r>
      <w:proofErr w:type="spellEnd"/>
      <w:r>
        <w:rPr>
          <w:sz w:val="24"/>
          <w:szCs w:val="24"/>
        </w:rPr>
        <w:t xml:space="preserve">: в 1960-х годах вблизи южной окраины города Тутаева началось строительство значительного </w:t>
      </w:r>
      <w:r>
        <w:rPr>
          <w:sz w:val="24"/>
          <w:szCs w:val="24"/>
        </w:rPr>
        <w:t xml:space="preserve">по своим масштабам моторного завода. Завод начал работать в 1968 году. Приблизительно в это же время вблизи завода появилась сравнительно крупная станция. Несмотря на то, что она расположена на значительном удалении от города, здесь была построена высокая </w:t>
      </w:r>
      <w:r>
        <w:rPr>
          <w:sz w:val="24"/>
          <w:szCs w:val="24"/>
        </w:rPr>
        <w:t xml:space="preserve">платформа, вокзальное здание. Станция получала официальное название </w:t>
      </w:r>
      <w:proofErr w:type="spellStart"/>
      <w:r>
        <w:rPr>
          <w:sz w:val="24"/>
          <w:szCs w:val="24"/>
        </w:rPr>
        <w:t>Тутаево</w:t>
      </w:r>
      <w:proofErr w:type="spellEnd"/>
      <w:r>
        <w:rPr>
          <w:sz w:val="24"/>
          <w:szCs w:val="24"/>
        </w:rPr>
        <w:t xml:space="preserve">. Старая станция, расположенная в городе, обозначается в документах как парк Старое </w:t>
      </w:r>
      <w:proofErr w:type="spellStart"/>
      <w:r>
        <w:rPr>
          <w:sz w:val="24"/>
          <w:szCs w:val="24"/>
        </w:rPr>
        <w:t>Тутаево</w:t>
      </w:r>
      <w:proofErr w:type="spellEnd"/>
      <w:r>
        <w:rPr>
          <w:sz w:val="24"/>
          <w:szCs w:val="24"/>
        </w:rPr>
        <w:t xml:space="preserve"> станции </w:t>
      </w:r>
      <w:proofErr w:type="spellStart"/>
      <w:r>
        <w:rPr>
          <w:sz w:val="24"/>
          <w:szCs w:val="24"/>
        </w:rPr>
        <w:t>Тутаево</w:t>
      </w:r>
      <w:proofErr w:type="spellEnd"/>
      <w:r>
        <w:rPr>
          <w:sz w:val="24"/>
          <w:szCs w:val="24"/>
        </w:rPr>
        <w:t>. По состоянию на август 2000 года, на железнодорожной линии регулярно кур</w:t>
      </w:r>
      <w:r>
        <w:rPr>
          <w:sz w:val="24"/>
          <w:szCs w:val="24"/>
        </w:rPr>
        <w:t xml:space="preserve">сировали пригородные поезда сообщением </w:t>
      </w:r>
      <w:proofErr w:type="spellStart"/>
      <w:r>
        <w:rPr>
          <w:sz w:val="24"/>
          <w:szCs w:val="24"/>
        </w:rPr>
        <w:t>Чёбаково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Тутаево</w:t>
      </w:r>
      <w:proofErr w:type="spellEnd"/>
      <w:r>
        <w:rPr>
          <w:sz w:val="24"/>
          <w:szCs w:val="24"/>
        </w:rPr>
        <w:t xml:space="preserve"> (ежедневно, две пары). Поезд состоял из тепловоза ЧМЭ3 и одного пассажирского вагона. В 2005 году, с момента ввода нового графика движения поездов (конец мая), либо (по другим данным) – в апреле, движ</w:t>
      </w:r>
      <w:r>
        <w:rPr>
          <w:sz w:val="24"/>
          <w:szCs w:val="24"/>
        </w:rPr>
        <w:t>ение пригородных поездов было прекращено. Перспектив его возобновления практически нет – пассажиров на этом участке в последние годы было мало, линия полностью дублируется автобусным сообщением. Грузовое движение здесь сохраняется;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святой источник на реч</w:t>
      </w:r>
      <w:r>
        <w:rPr>
          <w:sz w:val="24"/>
          <w:szCs w:val="24"/>
        </w:rPr>
        <w:t>ке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овать: источник образовался в 1793 году, история его возникновения связана с чудотворным образом Всемилостивого Спаса из Воскресенского собора. В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веке почти 40 лет эта икона находилась в городе Ростове, по разрешению </w:t>
      </w:r>
      <w:r>
        <w:rPr>
          <w:sz w:val="24"/>
          <w:szCs w:val="24"/>
        </w:rPr>
        <w:lastRenderedPageBreak/>
        <w:t>митрополита икону возвращают о</w:t>
      </w:r>
      <w:r>
        <w:rPr>
          <w:sz w:val="24"/>
          <w:szCs w:val="24"/>
        </w:rPr>
        <w:t>братно в Борисоглебск, от Ростова жители города несли её на руках и остановились на реке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овать, чтобы омыть образ от дорожной пыли, на том месте, где стоял образ, забил ключ. Источник почитался как чудотворный, в нём набирали воду для питья, ею умывались,</w:t>
      </w:r>
      <w:r>
        <w:rPr>
          <w:sz w:val="24"/>
          <w:szCs w:val="24"/>
        </w:rPr>
        <w:t xml:space="preserve"> и болезнь отступала.</w:t>
      </w:r>
    </w:p>
    <w:p w:rsidR="008203B0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группа посетила источник, все помыли руки, желающие набрали воды. </w:t>
      </w:r>
      <w:r w:rsidR="00BA3C72">
        <w:rPr>
          <w:sz w:val="24"/>
          <w:szCs w:val="24"/>
        </w:rPr>
        <w:t xml:space="preserve">На источнике построена часовня, желающие могут окунуться. </w:t>
      </w:r>
      <w:bookmarkStart w:id="0" w:name="_GoBack"/>
      <w:bookmarkEnd w:id="0"/>
      <w:r>
        <w:rPr>
          <w:sz w:val="24"/>
          <w:szCs w:val="24"/>
        </w:rPr>
        <w:t xml:space="preserve">Затем на берегу реки был организован перекус. Обратно отправились тем же маршрутом. </w:t>
      </w:r>
    </w:p>
    <w:p w:rsidR="008203B0" w:rsidRDefault="004A578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Экскурсия</w:t>
      </w:r>
      <w:r>
        <w:rPr>
          <w:sz w:val="24"/>
          <w:szCs w:val="24"/>
        </w:rPr>
        <w:t xml:space="preserve"> к источнику стала итоговым путешествием 2023-2024 учебного года. Продолжительность составила около 3 часов. 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тех, кто собирается пройти нашим маршрутом, рекомендуем обратить внимание на следующие моменты: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 прохождении маршрута в весенне-летний пе</w:t>
      </w:r>
      <w:r>
        <w:rPr>
          <w:sz w:val="24"/>
          <w:szCs w:val="24"/>
        </w:rPr>
        <w:t xml:space="preserve">риод необходимо предусмотреть </w:t>
      </w:r>
      <w:r w:rsidR="00CD623F">
        <w:rPr>
          <w:sz w:val="24"/>
          <w:szCs w:val="24"/>
        </w:rPr>
        <w:t>средства для защиты</w:t>
      </w:r>
      <w:r>
        <w:rPr>
          <w:sz w:val="24"/>
          <w:szCs w:val="24"/>
        </w:rPr>
        <w:t xml:space="preserve"> участников группы от клещей</w:t>
      </w:r>
      <w:r w:rsidR="00CD623F">
        <w:rPr>
          <w:sz w:val="24"/>
          <w:szCs w:val="24"/>
        </w:rPr>
        <w:t xml:space="preserve"> и комаров</w:t>
      </w:r>
      <w:r>
        <w:rPr>
          <w:sz w:val="24"/>
          <w:szCs w:val="24"/>
        </w:rPr>
        <w:t>;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ветка тупиковая, при проверке маршрута после разработки и при прохождении маршрута </w:t>
      </w:r>
      <w:r w:rsidR="00BA3C72">
        <w:rPr>
          <w:sz w:val="24"/>
          <w:szCs w:val="24"/>
        </w:rPr>
        <w:t xml:space="preserve">группой </w:t>
      </w:r>
      <w:r>
        <w:rPr>
          <w:sz w:val="24"/>
          <w:szCs w:val="24"/>
        </w:rPr>
        <w:t>дв</w:t>
      </w:r>
      <w:r>
        <w:rPr>
          <w:sz w:val="24"/>
          <w:szCs w:val="24"/>
        </w:rPr>
        <w:t>иже</w:t>
      </w:r>
      <w:r w:rsidR="00BA3C72">
        <w:rPr>
          <w:sz w:val="24"/>
          <w:szCs w:val="24"/>
        </w:rPr>
        <w:t xml:space="preserve">ния на железной дороге не было. </w:t>
      </w:r>
      <w:r>
        <w:rPr>
          <w:sz w:val="24"/>
          <w:szCs w:val="24"/>
        </w:rPr>
        <w:t>При движении группы вдоль железнодорожного полотна имеется возможность отойти на безопасное рас</w:t>
      </w:r>
      <w:r>
        <w:rPr>
          <w:sz w:val="24"/>
          <w:szCs w:val="24"/>
        </w:rPr>
        <w:t>стояние в случае движения состава либо движения спецтранспорта для технического обслуживания путей;</w:t>
      </w:r>
    </w:p>
    <w:p w:rsidR="008203B0" w:rsidRDefault="004A57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 предупредить участников группы о возможности набрать воду, чтобы они подготовили пустую тару;</w:t>
      </w:r>
    </w:p>
    <w:p w:rsidR="00CD623F" w:rsidRDefault="004A57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возможно возвращение к начальной точке маршрута</w:t>
      </w:r>
      <w:r>
        <w:rPr>
          <w:sz w:val="24"/>
          <w:szCs w:val="24"/>
        </w:rPr>
        <w:t xml:space="preserve"> пешком вдоль трассы Ярославль-Рыбинск, но следует учитывать, что автомобильное движение интенсивное, обочина местами неширокая, группа не рассчитывала на данный вариант возвращения</w:t>
      </w:r>
      <w:r w:rsidR="00CD623F">
        <w:rPr>
          <w:sz w:val="24"/>
          <w:szCs w:val="24"/>
        </w:rPr>
        <w:t>;</w:t>
      </w:r>
    </w:p>
    <w:p w:rsidR="008203B0" w:rsidRDefault="00CD62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 подготовить иллюстрации для сопровождения рассказа об истории строительства железной дороги, объектах инфраструктуры, легенде о происхождени</w:t>
      </w:r>
      <w:r w:rsidR="00BA3C72">
        <w:rPr>
          <w:sz w:val="24"/>
          <w:szCs w:val="24"/>
        </w:rPr>
        <w:t>и</w:t>
      </w:r>
      <w:r>
        <w:rPr>
          <w:sz w:val="24"/>
          <w:szCs w:val="24"/>
        </w:rPr>
        <w:t xml:space="preserve"> святого источника</w:t>
      </w:r>
      <w:r w:rsidR="004A5787">
        <w:rPr>
          <w:sz w:val="24"/>
          <w:szCs w:val="24"/>
        </w:rPr>
        <w:t xml:space="preserve">. </w:t>
      </w:r>
    </w:p>
    <w:p w:rsidR="008203B0" w:rsidRDefault="004A578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8203B0" w:rsidRDefault="004A5787">
      <w:pPr>
        <w:pStyle w:val="ae"/>
        <w:numPr>
          <w:ilvl w:val="0"/>
          <w:numId w:val="6"/>
        </w:numPr>
        <w:ind w:left="142"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Архив о железной дороге. Режим доступа: </w:t>
      </w:r>
      <w:hyperlink r:id="rId11" w:tooltip="https://railway-archive.studio-petukh.ru/article?name=12/tutaev.html" w:history="1">
        <w:r>
          <w:rPr>
            <w:rStyle w:val="af0"/>
            <w:sz w:val="24"/>
            <w:szCs w:val="24"/>
          </w:rPr>
          <w:t>https://railway-archive.studio-petukh.ru/article?name=12/tutaev.html</w:t>
        </w:r>
      </w:hyperlink>
    </w:p>
    <w:p w:rsidR="008203B0" w:rsidRDefault="004A5787">
      <w:pPr>
        <w:pStyle w:val="ae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Романов-Борисоглебск (Тутаев).</w:t>
      </w:r>
      <w:r>
        <w:rPr>
          <w:sz w:val="24"/>
          <w:szCs w:val="24"/>
        </w:rPr>
        <w:t xml:space="preserve"> Два города у одной реки / сост. Н. П. Нефедьева. – Ярославль: Ярославский полиграфкомбинат, 2013. – 192 с., </w:t>
      </w: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</w:t>
      </w:r>
    </w:p>
    <w:p w:rsidR="008203B0" w:rsidRDefault="004A5787">
      <w:pPr>
        <w:pStyle w:val="ae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РЖД. История железных дорог </w:t>
      </w:r>
      <w:hyperlink r:id="rId12" w:tooltip="https://company.rzd.ru/ru/9453/page/564705?date_begin=&amp;date_end=&amp;rubricator_id=1&amp;" w:history="1">
        <w:r>
          <w:rPr>
            <w:rStyle w:val="af0"/>
            <w:sz w:val="24"/>
            <w:szCs w:val="24"/>
          </w:rPr>
          <w:t>https://company.rzd.ru/ru/9453/page/564705?date_begin=&amp;date_end=&amp;rubricator_id=1&amp;</w:t>
        </w:r>
      </w:hyperlink>
    </w:p>
    <w:p w:rsidR="008203B0" w:rsidRDefault="004A5787">
      <w:pPr>
        <w:pStyle w:val="ae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Светофоры на железнодорожном транспорте. Режим доступа: </w:t>
      </w:r>
      <w:hyperlink r:id="rId13" w:tooltip="https://sudact.ru/law/prikaz-mintransa-rf-ot-21122010-n-286/pravila-tekhnicheskoi-ekspluatatsii-zheleznykh-dorog/prilozhenie-n-7/iii_1/" w:history="1">
        <w:r>
          <w:rPr>
            <w:rStyle w:val="af0"/>
            <w:sz w:val="24"/>
            <w:szCs w:val="24"/>
          </w:rPr>
          <w:t>https</w:t>
        </w:r>
        <w:r>
          <w:rPr>
            <w:rStyle w:val="af0"/>
            <w:sz w:val="24"/>
            <w:szCs w:val="24"/>
          </w:rPr>
          <w:t>://sudact.ru/law/prikaz-mintransa-rf-ot-21122010-n-286/pravila-tekhnicheskoi-ekspluatatsii-zheleznykh-dorog/prilozhenie-n-7/iii_1/</w:t>
        </w:r>
      </w:hyperlink>
    </w:p>
    <w:p w:rsidR="008203B0" w:rsidRDefault="008203B0">
      <w:pPr>
        <w:pStyle w:val="ae"/>
        <w:ind w:left="720"/>
        <w:jc w:val="both"/>
        <w:rPr>
          <w:sz w:val="24"/>
          <w:szCs w:val="24"/>
        </w:rPr>
      </w:pPr>
    </w:p>
    <w:sectPr w:rsidR="008203B0">
      <w:footerReference w:type="default" r:id="rId14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7" w:rsidRDefault="004A5787">
      <w:r>
        <w:separator/>
      </w:r>
    </w:p>
  </w:endnote>
  <w:endnote w:type="continuationSeparator" w:id="0">
    <w:p w:rsidR="004A5787" w:rsidRDefault="004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B0" w:rsidRDefault="004A578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3C72">
      <w:rPr>
        <w:noProof/>
      </w:rPr>
      <w:t>4</w:t>
    </w:r>
    <w:r>
      <w:fldChar w:fldCharType="end"/>
    </w:r>
  </w:p>
  <w:p w:rsidR="008203B0" w:rsidRDefault="008203B0">
    <w:pPr>
      <w:pStyle w:val="af9"/>
      <w:jc w:val="center"/>
    </w:pPr>
  </w:p>
  <w:p w:rsidR="008203B0" w:rsidRDefault="008203B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7" w:rsidRDefault="004A5787">
      <w:r>
        <w:separator/>
      </w:r>
    </w:p>
  </w:footnote>
  <w:footnote w:type="continuationSeparator" w:id="0">
    <w:p w:rsidR="004A5787" w:rsidRDefault="004A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E98"/>
    <w:multiLevelType w:val="hybridMultilevel"/>
    <w:tmpl w:val="8130A6DA"/>
    <w:lvl w:ilvl="0" w:tplc="91168478">
      <w:start w:val="1"/>
      <w:numFmt w:val="decimal"/>
      <w:lvlText w:val="%1."/>
      <w:lvlJc w:val="left"/>
      <w:pPr>
        <w:ind w:left="720" w:hanging="360"/>
      </w:pPr>
    </w:lvl>
    <w:lvl w:ilvl="1" w:tplc="7E9827E8">
      <w:start w:val="1"/>
      <w:numFmt w:val="lowerLetter"/>
      <w:lvlText w:val="%2."/>
      <w:lvlJc w:val="left"/>
      <w:pPr>
        <w:ind w:left="1440" w:hanging="360"/>
      </w:pPr>
    </w:lvl>
    <w:lvl w:ilvl="2" w:tplc="5EDE0106">
      <w:start w:val="1"/>
      <w:numFmt w:val="lowerRoman"/>
      <w:lvlText w:val="%3."/>
      <w:lvlJc w:val="right"/>
      <w:pPr>
        <w:ind w:left="2160" w:hanging="180"/>
      </w:pPr>
    </w:lvl>
    <w:lvl w:ilvl="3" w:tplc="B874ED02">
      <w:start w:val="1"/>
      <w:numFmt w:val="decimal"/>
      <w:lvlText w:val="%4."/>
      <w:lvlJc w:val="left"/>
      <w:pPr>
        <w:ind w:left="2880" w:hanging="360"/>
      </w:pPr>
    </w:lvl>
    <w:lvl w:ilvl="4" w:tplc="07D855DA">
      <w:start w:val="1"/>
      <w:numFmt w:val="lowerLetter"/>
      <w:lvlText w:val="%5."/>
      <w:lvlJc w:val="left"/>
      <w:pPr>
        <w:ind w:left="3600" w:hanging="360"/>
      </w:pPr>
    </w:lvl>
    <w:lvl w:ilvl="5" w:tplc="E1726450">
      <w:start w:val="1"/>
      <w:numFmt w:val="lowerRoman"/>
      <w:lvlText w:val="%6."/>
      <w:lvlJc w:val="right"/>
      <w:pPr>
        <w:ind w:left="4320" w:hanging="180"/>
      </w:pPr>
    </w:lvl>
    <w:lvl w:ilvl="6" w:tplc="DDCECEA2">
      <w:start w:val="1"/>
      <w:numFmt w:val="decimal"/>
      <w:lvlText w:val="%7."/>
      <w:lvlJc w:val="left"/>
      <w:pPr>
        <w:ind w:left="5040" w:hanging="360"/>
      </w:pPr>
    </w:lvl>
    <w:lvl w:ilvl="7" w:tplc="C910E200">
      <w:start w:val="1"/>
      <w:numFmt w:val="lowerLetter"/>
      <w:lvlText w:val="%8."/>
      <w:lvlJc w:val="left"/>
      <w:pPr>
        <w:ind w:left="5760" w:hanging="360"/>
      </w:pPr>
    </w:lvl>
    <w:lvl w:ilvl="8" w:tplc="A0C4E7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1A21"/>
    <w:multiLevelType w:val="hybridMultilevel"/>
    <w:tmpl w:val="42C4DF52"/>
    <w:lvl w:ilvl="0" w:tplc="CE9A94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305DD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1D4C0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D1AC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562095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8144B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2EB9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DC98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D36E5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20800146"/>
    <w:multiLevelType w:val="hybridMultilevel"/>
    <w:tmpl w:val="03681068"/>
    <w:lvl w:ilvl="0" w:tplc="A196995A">
      <w:start w:val="1"/>
      <w:numFmt w:val="decimal"/>
      <w:lvlText w:val="%1."/>
      <w:lvlJc w:val="left"/>
      <w:pPr>
        <w:ind w:left="502" w:hanging="360"/>
      </w:pPr>
    </w:lvl>
    <w:lvl w:ilvl="1" w:tplc="AC46A24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90E4DDD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E80D43C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97A7FC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3ABA7AB2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CDCA0BA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DFCC68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C038B690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3411FDB"/>
    <w:multiLevelType w:val="hybridMultilevel"/>
    <w:tmpl w:val="8F7AB696"/>
    <w:lvl w:ilvl="0" w:tplc="34EC9A4E">
      <w:start w:val="1"/>
      <w:numFmt w:val="decimal"/>
      <w:lvlText w:val="%1."/>
      <w:lvlJc w:val="left"/>
      <w:pPr>
        <w:ind w:left="720" w:hanging="360"/>
      </w:pPr>
    </w:lvl>
    <w:lvl w:ilvl="1" w:tplc="3864AFDC">
      <w:start w:val="1"/>
      <w:numFmt w:val="lowerLetter"/>
      <w:lvlText w:val="%2."/>
      <w:lvlJc w:val="left"/>
      <w:pPr>
        <w:ind w:left="1440" w:hanging="360"/>
      </w:pPr>
    </w:lvl>
    <w:lvl w:ilvl="2" w:tplc="284EB514">
      <w:start w:val="1"/>
      <w:numFmt w:val="lowerRoman"/>
      <w:lvlText w:val="%3."/>
      <w:lvlJc w:val="right"/>
      <w:pPr>
        <w:ind w:left="2160" w:hanging="180"/>
      </w:pPr>
    </w:lvl>
    <w:lvl w:ilvl="3" w:tplc="5F22F28C">
      <w:start w:val="1"/>
      <w:numFmt w:val="decimal"/>
      <w:lvlText w:val="%4."/>
      <w:lvlJc w:val="left"/>
      <w:pPr>
        <w:ind w:left="2880" w:hanging="360"/>
      </w:pPr>
    </w:lvl>
    <w:lvl w:ilvl="4" w:tplc="694C047A">
      <w:start w:val="1"/>
      <w:numFmt w:val="lowerLetter"/>
      <w:lvlText w:val="%5."/>
      <w:lvlJc w:val="left"/>
      <w:pPr>
        <w:ind w:left="3600" w:hanging="360"/>
      </w:pPr>
    </w:lvl>
    <w:lvl w:ilvl="5" w:tplc="3E4427C2">
      <w:start w:val="1"/>
      <w:numFmt w:val="lowerRoman"/>
      <w:lvlText w:val="%6."/>
      <w:lvlJc w:val="right"/>
      <w:pPr>
        <w:ind w:left="4320" w:hanging="180"/>
      </w:pPr>
    </w:lvl>
    <w:lvl w:ilvl="6" w:tplc="BC62A142">
      <w:start w:val="1"/>
      <w:numFmt w:val="decimal"/>
      <w:lvlText w:val="%7."/>
      <w:lvlJc w:val="left"/>
      <w:pPr>
        <w:ind w:left="5040" w:hanging="360"/>
      </w:pPr>
    </w:lvl>
    <w:lvl w:ilvl="7" w:tplc="0E38B5DC">
      <w:start w:val="1"/>
      <w:numFmt w:val="lowerLetter"/>
      <w:lvlText w:val="%8."/>
      <w:lvlJc w:val="left"/>
      <w:pPr>
        <w:ind w:left="5760" w:hanging="360"/>
      </w:pPr>
    </w:lvl>
    <w:lvl w:ilvl="8" w:tplc="2D5A2FE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5588D"/>
    <w:multiLevelType w:val="hybridMultilevel"/>
    <w:tmpl w:val="DE8E8E2E"/>
    <w:lvl w:ilvl="0" w:tplc="01FA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5E356C">
      <w:start w:val="1"/>
      <w:numFmt w:val="lowerLetter"/>
      <w:lvlText w:val="%2."/>
      <w:lvlJc w:val="left"/>
      <w:pPr>
        <w:ind w:left="1440" w:hanging="360"/>
      </w:pPr>
    </w:lvl>
    <w:lvl w:ilvl="2" w:tplc="B9162B16">
      <w:start w:val="1"/>
      <w:numFmt w:val="lowerRoman"/>
      <w:lvlText w:val="%3."/>
      <w:lvlJc w:val="right"/>
      <w:pPr>
        <w:ind w:left="2160" w:hanging="180"/>
      </w:pPr>
    </w:lvl>
    <w:lvl w:ilvl="3" w:tplc="550C3266">
      <w:start w:val="1"/>
      <w:numFmt w:val="decimal"/>
      <w:lvlText w:val="%4."/>
      <w:lvlJc w:val="left"/>
      <w:pPr>
        <w:ind w:left="2880" w:hanging="360"/>
      </w:pPr>
    </w:lvl>
    <w:lvl w:ilvl="4" w:tplc="E9D66F58">
      <w:start w:val="1"/>
      <w:numFmt w:val="lowerLetter"/>
      <w:lvlText w:val="%5."/>
      <w:lvlJc w:val="left"/>
      <w:pPr>
        <w:ind w:left="3600" w:hanging="360"/>
      </w:pPr>
    </w:lvl>
    <w:lvl w:ilvl="5" w:tplc="F5704AEC">
      <w:start w:val="1"/>
      <w:numFmt w:val="lowerRoman"/>
      <w:lvlText w:val="%6."/>
      <w:lvlJc w:val="right"/>
      <w:pPr>
        <w:ind w:left="4320" w:hanging="180"/>
      </w:pPr>
    </w:lvl>
    <w:lvl w:ilvl="6" w:tplc="950C67A4">
      <w:start w:val="1"/>
      <w:numFmt w:val="decimal"/>
      <w:lvlText w:val="%7."/>
      <w:lvlJc w:val="left"/>
      <w:pPr>
        <w:ind w:left="5040" w:hanging="360"/>
      </w:pPr>
    </w:lvl>
    <w:lvl w:ilvl="7" w:tplc="6C824AFC">
      <w:start w:val="1"/>
      <w:numFmt w:val="lowerLetter"/>
      <w:lvlText w:val="%8."/>
      <w:lvlJc w:val="left"/>
      <w:pPr>
        <w:ind w:left="5760" w:hanging="360"/>
      </w:pPr>
    </w:lvl>
    <w:lvl w:ilvl="8" w:tplc="F2287E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B14C9"/>
    <w:multiLevelType w:val="hybridMultilevel"/>
    <w:tmpl w:val="23BC5EEC"/>
    <w:lvl w:ilvl="0" w:tplc="EFE251D0">
      <w:start w:val="1"/>
      <w:numFmt w:val="decimal"/>
      <w:lvlText w:val="%1."/>
      <w:lvlJc w:val="left"/>
      <w:pPr>
        <w:ind w:left="1068" w:hanging="360"/>
      </w:pPr>
    </w:lvl>
    <w:lvl w:ilvl="1" w:tplc="F73E934C">
      <w:start w:val="1"/>
      <w:numFmt w:val="lowerLetter"/>
      <w:lvlText w:val="%2."/>
      <w:lvlJc w:val="left"/>
      <w:pPr>
        <w:ind w:left="1788" w:hanging="360"/>
      </w:pPr>
    </w:lvl>
    <w:lvl w:ilvl="2" w:tplc="660A2A7E">
      <w:start w:val="1"/>
      <w:numFmt w:val="lowerRoman"/>
      <w:lvlText w:val="%3."/>
      <w:lvlJc w:val="right"/>
      <w:pPr>
        <w:ind w:left="2508" w:hanging="180"/>
      </w:pPr>
    </w:lvl>
    <w:lvl w:ilvl="3" w:tplc="B17A2B60">
      <w:start w:val="1"/>
      <w:numFmt w:val="decimal"/>
      <w:lvlText w:val="%4."/>
      <w:lvlJc w:val="left"/>
      <w:pPr>
        <w:ind w:left="3228" w:hanging="360"/>
      </w:pPr>
    </w:lvl>
    <w:lvl w:ilvl="4" w:tplc="67721610">
      <w:start w:val="1"/>
      <w:numFmt w:val="lowerLetter"/>
      <w:lvlText w:val="%5."/>
      <w:lvlJc w:val="left"/>
      <w:pPr>
        <w:ind w:left="3948" w:hanging="360"/>
      </w:pPr>
    </w:lvl>
    <w:lvl w:ilvl="5" w:tplc="D880488E">
      <w:start w:val="1"/>
      <w:numFmt w:val="lowerRoman"/>
      <w:lvlText w:val="%6."/>
      <w:lvlJc w:val="right"/>
      <w:pPr>
        <w:ind w:left="4668" w:hanging="180"/>
      </w:pPr>
    </w:lvl>
    <w:lvl w:ilvl="6" w:tplc="CAF6B65E">
      <w:start w:val="1"/>
      <w:numFmt w:val="decimal"/>
      <w:lvlText w:val="%7."/>
      <w:lvlJc w:val="left"/>
      <w:pPr>
        <w:ind w:left="5388" w:hanging="360"/>
      </w:pPr>
    </w:lvl>
    <w:lvl w:ilvl="7" w:tplc="D7E4C324">
      <w:start w:val="1"/>
      <w:numFmt w:val="lowerLetter"/>
      <w:lvlText w:val="%8."/>
      <w:lvlJc w:val="left"/>
      <w:pPr>
        <w:ind w:left="6108" w:hanging="360"/>
      </w:pPr>
    </w:lvl>
    <w:lvl w:ilvl="8" w:tplc="C9D4787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0"/>
    <w:rsid w:val="004A5787"/>
    <w:rsid w:val="008203B0"/>
    <w:rsid w:val="00BA3C72"/>
    <w:rsid w:val="00C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e">
    <w:name w:val="List Paragraph"/>
    <w:basedOn w:val="a"/>
    <w:link w:val="af"/>
    <w:uiPriority w:val="34"/>
    <w:qFormat/>
    <w:pPr>
      <w:ind w:left="708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13">
    <w:name w:val="Абзац списка1"/>
    <w:basedOn w:val="a"/>
    <w:link w:val="14"/>
    <w:pPr>
      <w:ind w:left="720"/>
    </w:pPr>
    <w:rPr>
      <w:sz w:val="24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1">
    <w:name w:val="No Spacing"/>
    <w:link w:val="af2"/>
    <w:rPr>
      <w:sz w:val="22"/>
    </w:rPr>
  </w:style>
  <w:style w:type="character" w:customStyle="1" w:styleId="af2">
    <w:name w:val="Без интервала Знак"/>
    <w:link w:val="af1"/>
    <w:rPr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25">
    <w:name w:val="Body Text 2"/>
    <w:basedOn w:val="a"/>
    <w:link w:val="26"/>
    <w:pPr>
      <w:jc w:val="center"/>
    </w:pPr>
    <w:rPr>
      <w:b/>
      <w:sz w:val="40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b/>
      <w:sz w:val="4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8">
    <w:name w:val="Строгий1"/>
    <w:link w:val="af3"/>
    <w:rPr>
      <w:b/>
    </w:rPr>
  </w:style>
  <w:style w:type="character" w:styleId="af3">
    <w:name w:val="Strong"/>
    <w:link w:val="1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7">
    <w:name w:val="Body Text Indent 2"/>
    <w:basedOn w:val="a"/>
    <w:link w:val="28"/>
    <w:pPr>
      <w:ind w:firstLine="567"/>
      <w:jc w:val="both"/>
    </w:pPr>
    <w:rPr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Times New Roman" w:hAnsi="Times New Roman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f8"/>
    <w:rPr>
      <w:color w:val="800080"/>
      <w:u w:val="single"/>
    </w:rPr>
  </w:style>
  <w:style w:type="character" w:styleId="af8">
    <w:name w:val="FollowedHyperlink"/>
    <w:link w:val="19"/>
    <w:rPr>
      <w:color w:val="800080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p3">
    <w:name w:val="p3"/>
    <w:basedOn w:val="a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</w:rPr>
  </w:style>
  <w:style w:type="paragraph" w:customStyle="1" w:styleId="1c">
    <w:name w:val="Выделение1"/>
    <w:link w:val="afb"/>
    <w:rPr>
      <w:i/>
    </w:rPr>
  </w:style>
  <w:style w:type="character" w:styleId="afb">
    <w:name w:val="Emphasis"/>
    <w:link w:val="1c"/>
    <w:rPr>
      <w:i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f0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dact.ru/law/prikaz-mintransa-rf-ot-21122010-n-286/pravila-tekhnicheskoi-ekspluatatsii-zheleznykh-dorog/prilozhenie-n-7/iii_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mpany.rzd.ru/ru/9453/page/564705?date_begin=&amp;date_end=&amp;rubricator_id=1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ilway-archive.studio-petukh.ru/article?name=12/tutae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20</cp:revision>
  <dcterms:created xsi:type="dcterms:W3CDTF">2024-10-23T18:47:00Z</dcterms:created>
  <dcterms:modified xsi:type="dcterms:W3CDTF">2025-01-20T18:13:00Z</dcterms:modified>
</cp:coreProperties>
</file>